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327C" w14:textId="77777777"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14:paraId="41A96975" w14:textId="77777777"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14:paraId="1B3F8001" w14:textId="77777777" w:rsidR="00195DF6" w:rsidRPr="00724495" w:rsidRDefault="00195DF6">
      <w:pPr>
        <w:jc w:val="center"/>
        <w:rPr>
          <w:rFonts w:asciiTheme="minorHAnsi" w:hAnsiTheme="minorHAnsi" w:cstheme="minorHAnsi"/>
          <w:b/>
          <w:bCs/>
          <w:sz w:val="28"/>
          <w:szCs w:val="28"/>
        </w:rPr>
      </w:pPr>
    </w:p>
    <w:p w14:paraId="6E1E5950" w14:textId="77777777"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14:paraId="1D553FAF" w14:textId="77777777" w:rsidR="00195DF6" w:rsidRPr="00724495" w:rsidRDefault="00195DF6">
      <w:pPr>
        <w:jc w:val="center"/>
        <w:rPr>
          <w:rFonts w:asciiTheme="minorHAnsi" w:hAnsiTheme="minorHAnsi" w:cstheme="minorHAnsi"/>
          <w:b/>
          <w:bCs/>
          <w:sz w:val="24"/>
          <w:szCs w:val="24"/>
        </w:rPr>
      </w:pPr>
    </w:p>
    <w:p w14:paraId="6A78EC85" w14:textId="6A6DE662"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POSITION:</w:t>
      </w:r>
      <w:r w:rsidRPr="00724495">
        <w:rPr>
          <w:rFonts w:asciiTheme="minorHAnsi" w:hAnsiTheme="minorHAnsi" w:cstheme="minorHAnsi"/>
          <w:b/>
          <w:bCs/>
        </w:rPr>
        <w:tab/>
      </w:r>
      <w:r w:rsidR="00724495">
        <w:rPr>
          <w:rFonts w:asciiTheme="minorHAnsi" w:hAnsiTheme="minorHAnsi" w:cstheme="minorHAnsi"/>
          <w:b/>
          <w:bCs/>
        </w:rPr>
        <w:t>Supervisor</w:t>
      </w:r>
      <w:r w:rsidR="00645FEB">
        <w:rPr>
          <w:rFonts w:asciiTheme="minorHAnsi" w:hAnsiTheme="minorHAnsi" w:cstheme="minorHAnsi"/>
          <w:b/>
          <w:bCs/>
        </w:rPr>
        <w:tab/>
      </w:r>
    </w:p>
    <w:p w14:paraId="3C16A340" w14:textId="152C1F03" w:rsidR="00645FEB" w:rsidRDefault="00645FEB" w:rsidP="00645FEB">
      <w:pPr>
        <w:ind w:left="4253" w:hanging="4253"/>
        <w:rPr>
          <w:rFonts w:asciiTheme="minorHAnsi" w:hAnsiTheme="minorHAnsi" w:cstheme="minorHAnsi"/>
          <w:b/>
          <w:bCs/>
        </w:rPr>
      </w:pPr>
      <w:r>
        <w:rPr>
          <w:rFonts w:asciiTheme="minorHAnsi" w:hAnsiTheme="minorHAnsi" w:cstheme="minorHAnsi"/>
          <w:b/>
          <w:bCs/>
        </w:rPr>
        <w:t>HOURS:</w:t>
      </w:r>
      <w:r>
        <w:rPr>
          <w:rFonts w:asciiTheme="minorHAnsi" w:hAnsiTheme="minorHAnsi" w:cstheme="minorHAnsi"/>
          <w:b/>
          <w:bCs/>
        </w:rPr>
        <w:tab/>
        <w:t xml:space="preserve">Supervisor from </w:t>
      </w:r>
      <w:r w:rsidR="00D328CB">
        <w:rPr>
          <w:rFonts w:asciiTheme="minorHAnsi" w:hAnsiTheme="minorHAnsi" w:cstheme="minorHAnsi"/>
          <w:b/>
          <w:bCs/>
        </w:rPr>
        <w:t>1</w:t>
      </w:r>
      <w:r>
        <w:rPr>
          <w:rFonts w:asciiTheme="minorHAnsi" w:hAnsiTheme="minorHAnsi" w:cstheme="minorHAnsi"/>
          <w:b/>
          <w:bCs/>
        </w:rPr>
        <w:t>.</w:t>
      </w:r>
      <w:r w:rsidR="002D2144">
        <w:rPr>
          <w:rFonts w:asciiTheme="minorHAnsi" w:hAnsiTheme="minorHAnsi" w:cstheme="minorHAnsi"/>
          <w:b/>
          <w:bCs/>
        </w:rPr>
        <w:t>3</w:t>
      </w:r>
      <w:r>
        <w:rPr>
          <w:rFonts w:asciiTheme="minorHAnsi" w:hAnsiTheme="minorHAnsi" w:cstheme="minorHAnsi"/>
          <w:b/>
          <w:bCs/>
        </w:rPr>
        <w:t>0pm – 10.</w:t>
      </w:r>
      <w:r w:rsidR="002D2144">
        <w:rPr>
          <w:rFonts w:asciiTheme="minorHAnsi" w:hAnsiTheme="minorHAnsi" w:cstheme="minorHAnsi"/>
          <w:b/>
          <w:bCs/>
        </w:rPr>
        <w:t>00</w:t>
      </w:r>
      <w:r w:rsidR="00D328CB">
        <w:rPr>
          <w:rFonts w:asciiTheme="minorHAnsi" w:hAnsiTheme="minorHAnsi" w:cstheme="minorHAnsi"/>
          <w:b/>
          <w:bCs/>
        </w:rPr>
        <w:t>pm Friday and 3.00pm – 10.00</w:t>
      </w:r>
      <w:r w:rsidR="00332AD9">
        <w:rPr>
          <w:rFonts w:asciiTheme="minorHAnsi" w:hAnsiTheme="minorHAnsi" w:cstheme="minorHAnsi"/>
          <w:b/>
          <w:bCs/>
        </w:rPr>
        <w:t xml:space="preserve"> Saturday, Sunday </w:t>
      </w:r>
      <w:r w:rsidR="00D328CB">
        <w:rPr>
          <w:rFonts w:asciiTheme="minorHAnsi" w:hAnsiTheme="minorHAnsi" w:cstheme="minorHAnsi"/>
          <w:b/>
          <w:bCs/>
        </w:rPr>
        <w:t>6.30am – 3.30pm</w:t>
      </w:r>
      <w:r w:rsidR="00332AD9">
        <w:rPr>
          <w:rFonts w:asciiTheme="minorHAnsi" w:hAnsiTheme="minorHAnsi" w:cstheme="minorHAnsi"/>
          <w:b/>
          <w:bCs/>
        </w:rPr>
        <w:tab/>
      </w:r>
    </w:p>
    <w:p w14:paraId="491180E8" w14:textId="04F2BA76" w:rsidR="00195DF6" w:rsidRPr="00D54413" w:rsidRDefault="00332AD9" w:rsidP="00D54413">
      <w:pPr>
        <w:ind w:left="4253" w:hanging="4253"/>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sidR="00645FEB">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328CB">
        <w:rPr>
          <w:rFonts w:asciiTheme="minorHAnsi" w:hAnsiTheme="minorHAnsi" w:cstheme="minorHAnsi"/>
          <w:b/>
          <w:bCs/>
        </w:rPr>
        <w:tab/>
      </w:r>
      <w:r w:rsidR="00D328CB">
        <w:rPr>
          <w:rFonts w:asciiTheme="minorHAnsi" w:hAnsiTheme="minorHAnsi" w:cstheme="minorHAnsi"/>
          <w:b/>
          <w:bCs/>
        </w:rPr>
        <w:tab/>
      </w:r>
      <w:r w:rsidR="00D328CB">
        <w:rPr>
          <w:rFonts w:asciiTheme="minorHAnsi" w:hAnsiTheme="minorHAnsi" w:cstheme="minorHAnsi"/>
          <w:b/>
          <w:bCs/>
        </w:rPr>
        <w:tab/>
      </w:r>
      <w:r w:rsidR="00D328CB">
        <w:rPr>
          <w:rFonts w:asciiTheme="minorHAnsi" w:hAnsiTheme="minorHAnsi" w:cstheme="minorHAnsi"/>
          <w:b/>
          <w:bCs/>
        </w:rPr>
        <w:tab/>
      </w:r>
      <w:r w:rsidR="00D328CB">
        <w:rPr>
          <w:rFonts w:asciiTheme="minorHAnsi" w:hAnsiTheme="minorHAnsi" w:cstheme="minorHAnsi"/>
          <w:b/>
          <w:bCs/>
        </w:rPr>
        <w:tab/>
      </w:r>
      <w:r w:rsidR="00645FEB">
        <w:rPr>
          <w:rFonts w:asciiTheme="minorHAnsi" w:hAnsiTheme="minorHAnsi" w:cstheme="minorHAnsi"/>
          <w:b/>
          <w:bCs/>
        </w:rPr>
        <w:tab/>
      </w:r>
      <w:r w:rsidR="00645FEB">
        <w:rPr>
          <w:rFonts w:asciiTheme="minorHAnsi" w:hAnsiTheme="minorHAnsi" w:cstheme="minorHAnsi"/>
          <w:b/>
          <w:bCs/>
        </w:rPr>
        <w:tab/>
      </w:r>
      <w:r w:rsidR="00645FEB">
        <w:rPr>
          <w:rFonts w:asciiTheme="minorHAnsi" w:hAnsiTheme="minorHAnsi" w:cstheme="minorHAnsi"/>
          <w:b/>
          <w:bCs/>
        </w:rPr>
        <w:tab/>
      </w:r>
    </w:p>
    <w:p w14:paraId="3F8B1488" w14:textId="53153621"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NAME:</w:t>
      </w:r>
      <w:r w:rsidRPr="00724495">
        <w:rPr>
          <w:rFonts w:asciiTheme="minorHAnsi" w:hAnsiTheme="minorHAnsi" w:cstheme="minorHAnsi"/>
          <w:b/>
          <w:bCs/>
        </w:rPr>
        <w:tab/>
      </w:r>
    </w:p>
    <w:p w14:paraId="559F6D7C" w14:textId="77777777"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CB3864" w:rsidRPr="00CB3864">
        <w:rPr>
          <w:rFonts w:asciiTheme="minorHAnsi" w:hAnsiTheme="minorHAnsi" w:cstheme="minorHAnsi"/>
          <w:bCs/>
        </w:rPr>
        <w:t>Term time only</w:t>
      </w:r>
    </w:p>
    <w:p w14:paraId="60382435" w14:textId="71B8C885"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2328E1">
        <w:rPr>
          <w:rFonts w:asciiTheme="minorHAnsi" w:hAnsiTheme="minorHAnsi" w:cstheme="minorHAnsi"/>
          <w:b/>
          <w:bCs/>
        </w:rPr>
        <w:t>Director of Boarding</w:t>
      </w:r>
      <w:r w:rsidRPr="00724495">
        <w:rPr>
          <w:rFonts w:asciiTheme="minorHAnsi" w:hAnsiTheme="minorHAnsi" w:cstheme="minorHAnsi"/>
        </w:rPr>
        <w:t xml:space="preserve"> </w:t>
      </w:r>
    </w:p>
    <w:p w14:paraId="64D1F040" w14:textId="4DD6293A" w:rsidR="00195DF6" w:rsidRPr="00CB3864"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CB3864">
        <w:rPr>
          <w:rFonts w:asciiTheme="minorHAnsi" w:hAnsiTheme="minorHAnsi" w:cstheme="minorHAnsi"/>
          <w:b/>
          <w:bCs/>
        </w:rPr>
        <w:tab/>
      </w:r>
      <w:r w:rsidR="002328E1">
        <w:rPr>
          <w:rFonts w:asciiTheme="minorHAnsi" w:hAnsiTheme="minorHAnsi" w:cstheme="minorHAnsi"/>
          <w:bCs/>
        </w:rPr>
        <w:t>Director of Boarding</w:t>
      </w:r>
      <w:r w:rsidR="00CB3864" w:rsidRPr="00CB3864">
        <w:rPr>
          <w:rFonts w:asciiTheme="minorHAnsi" w:hAnsiTheme="minorHAnsi" w:cstheme="minorHAnsi"/>
          <w:bCs/>
        </w:rPr>
        <w:t>, Epsom House staff and students</w:t>
      </w:r>
    </w:p>
    <w:p w14:paraId="64FAAFC6" w14:textId="77777777"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p w14:paraId="003627AF" w14:textId="77777777" w:rsidR="00195DF6" w:rsidRPr="00724495" w:rsidRDefault="00195DF6">
      <w:pPr>
        <w:ind w:left="4253" w:hanging="4253"/>
        <w:rPr>
          <w:rFonts w:asciiTheme="minorHAnsi" w:hAnsiTheme="minorHAnsi" w:cstheme="minorHAnsi"/>
        </w:rPr>
      </w:pP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14:paraId="20D7DCA5" w14:textId="77777777">
        <w:tc>
          <w:tcPr>
            <w:tcW w:w="4990" w:type="dxa"/>
            <w:tcBorders>
              <w:top w:val="single" w:sz="6" w:space="0" w:color="auto"/>
              <w:left w:val="single" w:sz="6" w:space="0" w:color="auto"/>
              <w:bottom w:val="single" w:sz="6" w:space="0" w:color="auto"/>
              <w:right w:val="single" w:sz="6" w:space="0" w:color="auto"/>
            </w:tcBorders>
          </w:tcPr>
          <w:p w14:paraId="389D1581" w14:textId="77777777"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14:paraId="7D4EC0CA" w14:textId="77777777"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14:paraId="5147062F" w14:textId="77777777"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14:paraId="2CC51C35" w14:textId="77777777"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14:paraId="43CB6F57" w14:textId="77777777" w:rsidTr="00945908">
        <w:tc>
          <w:tcPr>
            <w:tcW w:w="4990" w:type="dxa"/>
            <w:tcBorders>
              <w:top w:val="single" w:sz="6" w:space="0" w:color="auto"/>
              <w:left w:val="single" w:sz="6" w:space="0" w:color="auto"/>
              <w:bottom w:val="single" w:sz="6" w:space="0" w:color="auto"/>
              <w:right w:val="single" w:sz="6" w:space="0" w:color="auto"/>
            </w:tcBorders>
          </w:tcPr>
          <w:p w14:paraId="1438730C" w14:textId="77777777"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14:paraId="54A24350" w14:textId="77777777"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14:paraId="6FFD377D" w14:textId="77777777"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Follows the morning and evening procedures as set out in the manual.</w:t>
            </w:r>
          </w:p>
          <w:p w14:paraId="6046B809" w14:textId="77777777" w:rsidR="00997383"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Encourages and supports students to follow the expectation of Epsom House.</w:t>
            </w:r>
          </w:p>
          <w:p w14:paraId="140F1467"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Works co-operatively with other staff, students and prefects in carrying out specified procedures.</w:t>
            </w:r>
          </w:p>
          <w:p w14:paraId="218E72CF"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EH students.</w:t>
            </w:r>
          </w:p>
          <w:p w14:paraId="70D73C4C" w14:textId="77777777"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Takes students out of EH on group excursions, adhering to safety policies and </w:t>
            </w:r>
            <w:r w:rsidR="00645FEB">
              <w:rPr>
                <w:rFonts w:asciiTheme="minorHAnsi" w:hAnsiTheme="minorHAnsi" w:cstheme="minorHAnsi"/>
              </w:rPr>
              <w:t xml:space="preserve">EOTC and RAMS </w:t>
            </w:r>
            <w:r>
              <w:rPr>
                <w:rFonts w:asciiTheme="minorHAnsi" w:hAnsiTheme="minorHAnsi" w:cstheme="minorHAnsi"/>
              </w:rPr>
              <w:t>guidelines</w:t>
            </w:r>
            <w:r w:rsidR="00645FEB">
              <w:rPr>
                <w:rFonts w:asciiTheme="minorHAnsi" w:hAnsiTheme="minorHAnsi" w:cstheme="minorHAnsi"/>
              </w:rPr>
              <w:t xml:space="preserve"> from EGGS</w:t>
            </w:r>
            <w:r>
              <w:rPr>
                <w:rFonts w:asciiTheme="minorHAnsi" w:hAnsiTheme="minorHAnsi" w:cstheme="minorHAnsi"/>
              </w:rPr>
              <w:t xml:space="preserve"> listed in the manual.</w:t>
            </w:r>
          </w:p>
          <w:p w14:paraId="0C312C4B" w14:textId="6BF06268"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Protects the emotional safety of students by adhering to the Board</w:t>
            </w:r>
            <w:r w:rsidR="002328E1">
              <w:rPr>
                <w:rFonts w:asciiTheme="minorHAnsi" w:hAnsiTheme="minorHAnsi" w:cstheme="minorHAnsi"/>
              </w:rPr>
              <w:t>’s</w:t>
            </w:r>
            <w:r>
              <w:rPr>
                <w:rFonts w:asciiTheme="minorHAnsi" w:hAnsiTheme="minorHAnsi" w:cstheme="minorHAnsi"/>
              </w:rPr>
              <w:t xml:space="preserve"> policies and guidelines listed</w:t>
            </w:r>
            <w:r w:rsidR="00C443CD">
              <w:rPr>
                <w:rFonts w:asciiTheme="minorHAnsi" w:hAnsiTheme="minorHAnsi" w:cstheme="minorHAnsi"/>
              </w:rPr>
              <w:t xml:space="preserve"> in the manual.</w:t>
            </w:r>
          </w:p>
          <w:p w14:paraId="557CF650" w14:textId="77777777" w:rsidR="00645FEB"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Adheres to Health &amp; Safety guidelines and procedures carried out at Epsom House.</w:t>
            </w:r>
          </w:p>
          <w:p w14:paraId="36023653" w14:textId="5EC4A4C8"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Protects the physical safety of students by adhering to the Board</w:t>
            </w:r>
            <w:r w:rsidR="002328E1">
              <w:rPr>
                <w:rFonts w:asciiTheme="minorHAnsi" w:hAnsiTheme="minorHAnsi" w:cstheme="minorHAnsi"/>
              </w:rPr>
              <w:t xml:space="preserve">’s </w:t>
            </w:r>
            <w:r>
              <w:rPr>
                <w:rFonts w:asciiTheme="minorHAnsi" w:hAnsiTheme="minorHAnsi" w:cstheme="minorHAnsi"/>
              </w:rPr>
              <w:t>policies and guidelines listed in the manual.</w:t>
            </w:r>
          </w:p>
          <w:p w14:paraId="0DEAF123" w14:textId="77777777"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14:paraId="09317D2C" w14:textId="77777777"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14:paraId="51BA6C4C" w14:textId="77777777" w:rsidR="00195DF6" w:rsidRPr="00724495" w:rsidRDefault="00195DF6" w:rsidP="002328E1">
            <w:pPr>
              <w:pStyle w:val="ListParagraph"/>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14:paraId="77D98A14" w14:textId="77777777" w:rsidR="00195DF6" w:rsidRDefault="00195DF6">
            <w:pPr>
              <w:spacing w:before="120"/>
              <w:ind w:left="680" w:hanging="680"/>
              <w:rPr>
                <w:rFonts w:asciiTheme="minorHAnsi" w:hAnsiTheme="minorHAnsi" w:cstheme="minorHAnsi"/>
              </w:rPr>
            </w:pPr>
          </w:p>
          <w:p w14:paraId="6F9325BC" w14:textId="77777777" w:rsidR="00671A33" w:rsidRDefault="00671A33">
            <w:pPr>
              <w:spacing w:before="120"/>
              <w:ind w:left="680" w:hanging="680"/>
              <w:rPr>
                <w:rFonts w:asciiTheme="minorHAnsi" w:hAnsiTheme="minorHAnsi" w:cstheme="minorHAnsi"/>
              </w:rPr>
            </w:pPr>
          </w:p>
          <w:p w14:paraId="7B1BA2E4" w14:textId="77777777" w:rsidR="00671A33" w:rsidRDefault="00671A33">
            <w:pPr>
              <w:spacing w:before="120"/>
              <w:ind w:left="680" w:hanging="680"/>
              <w:rPr>
                <w:rFonts w:asciiTheme="minorHAnsi" w:hAnsiTheme="minorHAnsi" w:cstheme="minorHAnsi"/>
              </w:rPr>
            </w:pPr>
          </w:p>
          <w:p w14:paraId="6E44FFEF" w14:textId="77777777" w:rsidR="00671A33" w:rsidRDefault="00671A33">
            <w:pPr>
              <w:spacing w:before="120"/>
              <w:ind w:left="680" w:hanging="680"/>
              <w:rPr>
                <w:rFonts w:asciiTheme="minorHAnsi" w:hAnsiTheme="minorHAnsi" w:cstheme="minorHAnsi"/>
              </w:rPr>
            </w:pPr>
          </w:p>
          <w:p w14:paraId="681B5E72" w14:textId="77777777" w:rsidR="00671A33" w:rsidRDefault="00671A33">
            <w:pPr>
              <w:spacing w:before="120"/>
              <w:ind w:left="680" w:hanging="680"/>
              <w:rPr>
                <w:rFonts w:asciiTheme="minorHAnsi" w:hAnsiTheme="minorHAnsi" w:cstheme="minorHAnsi"/>
              </w:rPr>
            </w:pPr>
          </w:p>
          <w:p w14:paraId="7D032788" w14:textId="77777777" w:rsidR="00671A33" w:rsidRDefault="00671A33">
            <w:pPr>
              <w:spacing w:before="120"/>
              <w:ind w:left="680" w:hanging="680"/>
              <w:rPr>
                <w:rFonts w:asciiTheme="minorHAnsi" w:hAnsiTheme="minorHAnsi" w:cstheme="minorHAnsi"/>
              </w:rPr>
            </w:pPr>
          </w:p>
          <w:p w14:paraId="7D1090BA" w14:textId="77777777" w:rsidR="00671A33" w:rsidRDefault="00671A33">
            <w:pPr>
              <w:spacing w:before="120"/>
              <w:ind w:left="680" w:hanging="680"/>
              <w:rPr>
                <w:rFonts w:asciiTheme="minorHAnsi" w:hAnsiTheme="minorHAnsi" w:cstheme="minorHAnsi"/>
              </w:rPr>
            </w:pPr>
          </w:p>
          <w:p w14:paraId="7F8D2761" w14:textId="77777777" w:rsidR="00671A33" w:rsidRDefault="00671A33">
            <w:pPr>
              <w:spacing w:before="120"/>
              <w:ind w:left="680" w:hanging="680"/>
              <w:rPr>
                <w:rFonts w:asciiTheme="minorHAnsi" w:hAnsiTheme="minorHAnsi" w:cstheme="minorHAnsi"/>
              </w:rPr>
            </w:pPr>
          </w:p>
          <w:p w14:paraId="652C9F29" w14:textId="77777777" w:rsidR="00671A33" w:rsidRDefault="00671A33">
            <w:pPr>
              <w:spacing w:before="120"/>
              <w:ind w:left="680" w:hanging="680"/>
              <w:rPr>
                <w:rFonts w:asciiTheme="minorHAnsi" w:hAnsiTheme="minorHAnsi" w:cstheme="minorHAnsi"/>
              </w:rPr>
            </w:pPr>
          </w:p>
          <w:p w14:paraId="7BE2C986" w14:textId="77777777" w:rsidR="00671A33" w:rsidRDefault="00671A33">
            <w:pPr>
              <w:spacing w:before="120"/>
              <w:ind w:left="680" w:hanging="680"/>
              <w:rPr>
                <w:rFonts w:asciiTheme="minorHAnsi" w:hAnsiTheme="minorHAnsi" w:cstheme="minorHAnsi"/>
              </w:rPr>
            </w:pPr>
          </w:p>
          <w:p w14:paraId="465A0D85" w14:textId="77777777" w:rsidR="00671A33" w:rsidRDefault="00671A33">
            <w:pPr>
              <w:spacing w:before="120"/>
              <w:ind w:left="680" w:hanging="680"/>
              <w:rPr>
                <w:rFonts w:asciiTheme="minorHAnsi" w:hAnsiTheme="minorHAnsi" w:cstheme="minorHAnsi"/>
              </w:rPr>
            </w:pPr>
          </w:p>
          <w:p w14:paraId="07C57A44" w14:textId="77777777" w:rsidR="00671A33" w:rsidRDefault="00671A33">
            <w:pPr>
              <w:spacing w:before="120"/>
              <w:ind w:left="680" w:hanging="680"/>
              <w:rPr>
                <w:rFonts w:asciiTheme="minorHAnsi" w:hAnsiTheme="minorHAnsi" w:cstheme="minorHAnsi"/>
              </w:rPr>
            </w:pPr>
          </w:p>
          <w:p w14:paraId="3DF0391A" w14:textId="77777777" w:rsidR="00671A33" w:rsidRPr="00724495" w:rsidRDefault="00671A33">
            <w:pPr>
              <w:spacing w:before="120"/>
              <w:ind w:left="680" w:hanging="680"/>
              <w:rPr>
                <w:rFonts w:asciiTheme="minorHAnsi" w:hAnsiTheme="minorHAnsi" w:cstheme="minorHAnsi"/>
              </w:rPr>
            </w:pPr>
          </w:p>
        </w:tc>
      </w:tr>
      <w:tr w:rsidR="00945908" w:rsidRPr="00724495" w14:paraId="11048DD6" w14:textId="77777777" w:rsidTr="00F576A1">
        <w:tc>
          <w:tcPr>
            <w:tcW w:w="4990" w:type="dxa"/>
            <w:tcBorders>
              <w:top w:val="single" w:sz="6" w:space="0" w:color="auto"/>
              <w:left w:val="single" w:sz="6" w:space="0" w:color="auto"/>
              <w:bottom w:val="single" w:sz="6" w:space="0" w:color="auto"/>
              <w:right w:val="single" w:sz="6" w:space="0" w:color="auto"/>
            </w:tcBorders>
          </w:tcPr>
          <w:p w14:paraId="6E7B2EB9" w14:textId="77777777"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lastRenderedPageBreak/>
              <w:t>2.  Management</w:t>
            </w:r>
          </w:p>
        </w:tc>
        <w:tc>
          <w:tcPr>
            <w:tcW w:w="4990" w:type="dxa"/>
            <w:tcBorders>
              <w:top w:val="single" w:sz="6" w:space="0" w:color="auto"/>
              <w:left w:val="single" w:sz="6" w:space="0" w:color="auto"/>
              <w:bottom w:val="single" w:sz="6" w:space="0" w:color="auto"/>
              <w:right w:val="single" w:sz="6" w:space="0" w:color="auto"/>
            </w:tcBorders>
          </w:tcPr>
          <w:p w14:paraId="067DDBB9"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Manages the EH office systems and procedures in a professional manner as listed in the manual and EH handbook.</w:t>
            </w:r>
          </w:p>
          <w:p w14:paraId="2562F6D0"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Carries out delegated </w:t>
            </w:r>
            <w:r w:rsidR="0040681A">
              <w:rPr>
                <w:rFonts w:asciiTheme="minorHAnsi" w:hAnsiTheme="minorHAnsi" w:cstheme="minorHAnsi"/>
              </w:rPr>
              <w:t xml:space="preserve">administrative and housekeeping </w:t>
            </w:r>
            <w:r>
              <w:rPr>
                <w:rFonts w:asciiTheme="minorHAnsi" w:hAnsiTheme="minorHAnsi" w:cstheme="minorHAnsi"/>
              </w:rPr>
              <w:t>responsibilities.</w:t>
            </w:r>
          </w:p>
          <w:p w14:paraId="60A362A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14:paraId="770C7961"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Keep the required records including a written account of what happened while on shift as part of hand over.</w:t>
            </w:r>
          </w:p>
          <w:p w14:paraId="349980D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14:paraId="48D15CF8" w14:textId="62DEBAE8"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21042D">
              <w:rPr>
                <w:rFonts w:asciiTheme="minorHAnsi" w:hAnsiTheme="minorHAnsi" w:cstheme="minorHAnsi"/>
              </w:rPr>
              <w:t>Director</w:t>
            </w:r>
            <w:r w:rsidR="00645FEB">
              <w:rPr>
                <w:rFonts w:asciiTheme="minorHAnsi" w:hAnsiTheme="minorHAnsi" w:cstheme="minorHAnsi"/>
              </w:rPr>
              <w:t xml:space="preserve"> and House Managers are</w:t>
            </w:r>
            <w:r>
              <w:rPr>
                <w:rFonts w:asciiTheme="minorHAnsi" w:hAnsiTheme="minorHAnsi" w:cstheme="minorHAnsi"/>
              </w:rPr>
              <w:t xml:space="preserve"> informed of any serious problems as listed in Handbook.</w:t>
            </w:r>
          </w:p>
          <w:p w14:paraId="22E86C57"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14:paraId="4990FBB4"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Identifies problems and identifies solutions to take to a consultation process.</w:t>
            </w:r>
          </w:p>
          <w:p w14:paraId="5A1507C6" w14:textId="77777777"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14:paraId="73D81988" w14:textId="77777777"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14:paraId="4458781B" w14:textId="77777777" w:rsidR="00945908" w:rsidRPr="00724495" w:rsidRDefault="00945908">
            <w:pPr>
              <w:spacing w:before="120"/>
              <w:ind w:left="680" w:hanging="680"/>
              <w:rPr>
                <w:rFonts w:asciiTheme="minorHAnsi" w:hAnsiTheme="minorHAnsi" w:cstheme="minorHAnsi"/>
              </w:rPr>
            </w:pPr>
          </w:p>
        </w:tc>
      </w:tr>
      <w:tr w:rsidR="00F576A1" w:rsidRPr="00724495" w14:paraId="66EF8BDC" w14:textId="77777777" w:rsidTr="00F576A1">
        <w:tc>
          <w:tcPr>
            <w:tcW w:w="4990" w:type="dxa"/>
            <w:tcBorders>
              <w:top w:val="single" w:sz="6" w:space="0" w:color="auto"/>
              <w:left w:val="single" w:sz="6" w:space="0" w:color="auto"/>
              <w:bottom w:val="single" w:sz="6" w:space="0" w:color="auto"/>
              <w:right w:val="single" w:sz="6" w:space="0" w:color="auto"/>
            </w:tcBorders>
          </w:tcPr>
          <w:p w14:paraId="76C1FF0A" w14:textId="77777777" w:rsidR="00F576A1" w:rsidRPr="00945908" w:rsidRDefault="00F576A1" w:rsidP="00997383">
            <w:pPr>
              <w:spacing w:before="120"/>
              <w:rPr>
                <w:rFonts w:asciiTheme="minorHAnsi" w:hAnsiTheme="minorHAnsi" w:cstheme="minorHAnsi"/>
              </w:rPr>
            </w:pPr>
            <w:r>
              <w:rPr>
                <w:rFonts w:asciiTheme="minorHAnsi" w:hAnsiTheme="minorHAnsi" w:cstheme="minorHAnsi"/>
              </w:rPr>
              <w:lastRenderedPageBreak/>
              <w:t>3.  Education</w:t>
            </w:r>
          </w:p>
        </w:tc>
        <w:tc>
          <w:tcPr>
            <w:tcW w:w="4990" w:type="dxa"/>
            <w:tcBorders>
              <w:top w:val="single" w:sz="6" w:space="0" w:color="auto"/>
              <w:left w:val="single" w:sz="6" w:space="0" w:color="auto"/>
              <w:bottom w:val="single" w:sz="6" w:space="0" w:color="auto"/>
              <w:right w:val="single" w:sz="6" w:space="0" w:color="auto"/>
            </w:tcBorders>
          </w:tcPr>
          <w:p w14:paraId="4DA30BB7"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Supports student initiatives towards their studies.</w:t>
            </w:r>
          </w:p>
          <w:p w14:paraId="030544CD"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Enhances the positive study environment.</w:t>
            </w:r>
          </w:p>
          <w:p w14:paraId="7C2D0D5D" w14:textId="42471C64" w:rsidR="00F576A1" w:rsidRDefault="0040681A" w:rsidP="00645FEB">
            <w:pPr>
              <w:pStyle w:val="ListParagraph"/>
              <w:numPr>
                <w:ilvl w:val="0"/>
                <w:numId w:val="4"/>
              </w:numPr>
              <w:rPr>
                <w:rFonts w:asciiTheme="minorHAnsi" w:hAnsiTheme="minorHAnsi" w:cstheme="minorHAnsi"/>
              </w:rPr>
            </w:pPr>
            <w:r>
              <w:rPr>
                <w:rFonts w:asciiTheme="minorHAnsi" w:hAnsiTheme="minorHAnsi" w:cstheme="minorHAnsi"/>
              </w:rPr>
              <w:t xml:space="preserve">Liaises with the </w:t>
            </w:r>
            <w:r w:rsidR="00645FEB">
              <w:rPr>
                <w:rFonts w:asciiTheme="minorHAnsi" w:hAnsiTheme="minorHAnsi" w:cstheme="minorHAnsi"/>
              </w:rPr>
              <w:t xml:space="preserve">House Managers and </w:t>
            </w:r>
            <w:r w:rsidR="0021042D">
              <w:rPr>
                <w:rFonts w:asciiTheme="minorHAnsi" w:hAnsiTheme="minorHAnsi" w:cstheme="minorHAnsi"/>
              </w:rPr>
              <w:t>Director</w:t>
            </w:r>
            <w:r>
              <w:rPr>
                <w:rFonts w:asciiTheme="minorHAnsi" w:hAnsiTheme="minorHAnsi" w:cstheme="minorHAnsi"/>
              </w:rPr>
              <w:t xml:space="preserve"> </w:t>
            </w:r>
            <w:r w:rsidR="00F576A1">
              <w:rPr>
                <w:rFonts w:asciiTheme="minorHAnsi" w:hAnsiTheme="minorHAnsi" w:cstheme="minorHAnsi"/>
              </w:rPr>
              <w:t xml:space="preserve">regarding individual student’s study </w:t>
            </w:r>
            <w:proofErr w:type="spellStart"/>
            <w:r w:rsidR="00F576A1">
              <w:rPr>
                <w:rFonts w:asciiTheme="minorHAnsi" w:hAnsiTheme="minorHAnsi" w:cstheme="minorHAnsi"/>
              </w:rPr>
              <w:t>programmes</w:t>
            </w:r>
            <w:proofErr w:type="spellEnd"/>
            <w:r w:rsidR="00F576A1">
              <w:rPr>
                <w:rFonts w:asciiTheme="minorHAnsi" w:hAnsiTheme="minorHAnsi" w:cstheme="minorHAnsi"/>
              </w:rPr>
              <w:t xml:space="preserve"> and studying generally.</w:t>
            </w:r>
          </w:p>
        </w:tc>
        <w:tc>
          <w:tcPr>
            <w:tcW w:w="4990" w:type="dxa"/>
            <w:tcBorders>
              <w:top w:val="single" w:sz="6" w:space="0" w:color="auto"/>
              <w:left w:val="single" w:sz="6" w:space="0" w:color="auto"/>
              <w:bottom w:val="single" w:sz="6" w:space="0" w:color="auto"/>
              <w:right w:val="single" w:sz="6" w:space="0" w:color="auto"/>
            </w:tcBorders>
          </w:tcPr>
          <w:p w14:paraId="67669F06" w14:textId="77777777" w:rsidR="00F576A1" w:rsidRPr="00724495" w:rsidRDefault="00F576A1">
            <w:pPr>
              <w:spacing w:before="120"/>
              <w:ind w:left="680" w:hanging="680"/>
              <w:rPr>
                <w:rFonts w:asciiTheme="minorHAnsi" w:hAnsiTheme="minorHAnsi" w:cstheme="minorHAnsi"/>
              </w:rPr>
            </w:pPr>
          </w:p>
        </w:tc>
      </w:tr>
      <w:tr w:rsidR="00F576A1" w:rsidRPr="00724495" w14:paraId="70D88E52" w14:textId="77777777" w:rsidTr="00F576A1">
        <w:tc>
          <w:tcPr>
            <w:tcW w:w="4990" w:type="dxa"/>
            <w:tcBorders>
              <w:top w:val="single" w:sz="6" w:space="0" w:color="auto"/>
              <w:left w:val="single" w:sz="6" w:space="0" w:color="auto"/>
              <w:bottom w:val="single" w:sz="6" w:space="0" w:color="auto"/>
              <w:right w:val="single" w:sz="6" w:space="0" w:color="auto"/>
            </w:tcBorders>
          </w:tcPr>
          <w:p w14:paraId="0ED5593B" w14:textId="77777777"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14:paraId="29CCEBE6" w14:textId="22FDE9DA" w:rsidR="00F576A1" w:rsidRDefault="00F576A1" w:rsidP="008E6628">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21042D">
              <w:rPr>
                <w:rFonts w:asciiTheme="minorHAnsi" w:hAnsiTheme="minorHAnsi" w:cstheme="minorHAnsi"/>
              </w:rPr>
              <w:t>Director</w:t>
            </w:r>
            <w:r w:rsidR="008E6628">
              <w:rPr>
                <w:rFonts w:asciiTheme="minorHAnsi" w:hAnsiTheme="minorHAnsi" w:cstheme="minorHAnsi"/>
              </w:rPr>
              <w:t xml:space="preserve"> </w:t>
            </w:r>
            <w:r>
              <w:rPr>
                <w:rFonts w:asciiTheme="minorHAnsi" w:hAnsiTheme="minorHAnsi" w:cstheme="minorHAnsi"/>
              </w:rPr>
              <w:t>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14:paraId="3582AAA0" w14:textId="77777777" w:rsidR="00F576A1" w:rsidRPr="00724495" w:rsidRDefault="00F576A1">
            <w:pPr>
              <w:spacing w:before="120"/>
              <w:ind w:left="680" w:hanging="680"/>
              <w:rPr>
                <w:rFonts w:asciiTheme="minorHAnsi" w:hAnsiTheme="minorHAnsi" w:cstheme="minorHAnsi"/>
              </w:rPr>
            </w:pPr>
          </w:p>
        </w:tc>
      </w:tr>
      <w:tr w:rsidR="00F576A1" w:rsidRPr="00724495" w14:paraId="5DE0CD9C" w14:textId="77777777">
        <w:tc>
          <w:tcPr>
            <w:tcW w:w="4990" w:type="dxa"/>
            <w:tcBorders>
              <w:top w:val="single" w:sz="6" w:space="0" w:color="auto"/>
              <w:left w:val="single" w:sz="6" w:space="0" w:color="auto"/>
              <w:bottom w:val="single" w:sz="4" w:space="0" w:color="auto"/>
              <w:right w:val="single" w:sz="6" w:space="0" w:color="auto"/>
            </w:tcBorders>
          </w:tcPr>
          <w:p w14:paraId="3ED8C398" w14:textId="77777777"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14:paraId="1CD475F6"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Is on call for and attends to any event or emergency while on site in line with emergency procedures in the staff manual.</w:t>
            </w:r>
          </w:p>
          <w:p w14:paraId="1DBE2CBF"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14:paraId="23C74EB7" w14:textId="77777777"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tc>
        <w:tc>
          <w:tcPr>
            <w:tcW w:w="4990" w:type="dxa"/>
            <w:tcBorders>
              <w:top w:val="single" w:sz="6" w:space="0" w:color="auto"/>
              <w:left w:val="single" w:sz="6" w:space="0" w:color="auto"/>
              <w:bottom w:val="single" w:sz="4" w:space="0" w:color="auto"/>
              <w:right w:val="single" w:sz="6" w:space="0" w:color="auto"/>
            </w:tcBorders>
          </w:tcPr>
          <w:p w14:paraId="30238638" w14:textId="77777777" w:rsidR="00F576A1" w:rsidRPr="00724495" w:rsidRDefault="00F576A1">
            <w:pPr>
              <w:spacing w:before="120"/>
              <w:ind w:left="680" w:hanging="680"/>
              <w:rPr>
                <w:rFonts w:asciiTheme="minorHAnsi" w:hAnsiTheme="minorHAnsi" w:cstheme="minorHAnsi"/>
              </w:rPr>
            </w:pPr>
          </w:p>
        </w:tc>
      </w:tr>
    </w:tbl>
    <w:p w14:paraId="143CCD84" w14:textId="77777777" w:rsidR="00195DF6" w:rsidRPr="00724495" w:rsidRDefault="00195DF6">
      <w:pPr>
        <w:rPr>
          <w:rFonts w:asciiTheme="minorHAnsi" w:hAnsiTheme="minorHAnsi" w:cstheme="minorHAnsi"/>
          <w:b/>
          <w:bCs/>
        </w:rPr>
      </w:pPr>
    </w:p>
    <w:p w14:paraId="7BA4ED62" w14:textId="14A18C68"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000122">
        <w:rPr>
          <w:rFonts w:asciiTheme="minorHAnsi" w:hAnsiTheme="minorHAnsi" w:cstheme="minorHAnsi"/>
          <w:b/>
          <w:bCs/>
        </w:rPr>
        <w:t>January 2022</w:t>
      </w:r>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E"/>
    <w:rsid w:val="00000122"/>
    <w:rsid w:val="00051D84"/>
    <w:rsid w:val="001220FF"/>
    <w:rsid w:val="001859F4"/>
    <w:rsid w:val="00195DF6"/>
    <w:rsid w:val="001D7F26"/>
    <w:rsid w:val="0021042D"/>
    <w:rsid w:val="002328E1"/>
    <w:rsid w:val="002D2144"/>
    <w:rsid w:val="00332AD9"/>
    <w:rsid w:val="003B700B"/>
    <w:rsid w:val="003E5DA2"/>
    <w:rsid w:val="003F4AA2"/>
    <w:rsid w:val="0040681A"/>
    <w:rsid w:val="00645FEB"/>
    <w:rsid w:val="00671A33"/>
    <w:rsid w:val="006F69A6"/>
    <w:rsid w:val="00724495"/>
    <w:rsid w:val="007C4E39"/>
    <w:rsid w:val="008D567E"/>
    <w:rsid w:val="008E6628"/>
    <w:rsid w:val="00945908"/>
    <w:rsid w:val="00997383"/>
    <w:rsid w:val="009D74DA"/>
    <w:rsid w:val="00BB1EF4"/>
    <w:rsid w:val="00C443CD"/>
    <w:rsid w:val="00CB3864"/>
    <w:rsid w:val="00D328CB"/>
    <w:rsid w:val="00D50807"/>
    <w:rsid w:val="00D54413"/>
    <w:rsid w:val="00DB05F7"/>
    <w:rsid w:val="00EC763E"/>
    <w:rsid w:val="00EE538E"/>
    <w:rsid w:val="00F26CC4"/>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4CB85"/>
  <w15:docId w15:val="{C8B4BFEF-F072-4631-93A9-F72A92C2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 w:type="character" w:styleId="Hyperlink">
    <w:name w:val="Hyperlink"/>
    <w:basedOn w:val="DefaultParagraphFont"/>
    <w:uiPriority w:val="99"/>
    <w:unhideWhenUsed/>
    <w:rsid w:val="00F26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Chris Barnes</cp:lastModifiedBy>
  <cp:revision>2</cp:revision>
  <cp:lastPrinted>2018-01-23T00:31:00Z</cp:lastPrinted>
  <dcterms:created xsi:type="dcterms:W3CDTF">2022-01-20T01:14:00Z</dcterms:created>
  <dcterms:modified xsi:type="dcterms:W3CDTF">2022-01-20T01:14:00Z</dcterms:modified>
</cp:coreProperties>
</file>